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B6" w:rsidRDefault="006669B6" w:rsidP="006669B6">
      <w:pPr>
        <w:spacing w:after="0" w:line="276" w:lineRule="auto"/>
        <w:jc w:val="both"/>
        <w:rPr>
          <w:rFonts w:ascii="Arial" w:hAnsi="Arial" w:cs="Arial"/>
          <w:b/>
          <w:bCs/>
          <w:sz w:val="20"/>
          <w:szCs w:val="20"/>
        </w:rPr>
      </w:pPr>
    </w:p>
    <w:p w:rsidR="006669B6" w:rsidRPr="003D05CF" w:rsidRDefault="006669B6" w:rsidP="006669B6">
      <w:pPr>
        <w:spacing w:after="0" w:line="276" w:lineRule="auto"/>
        <w:jc w:val="both"/>
        <w:rPr>
          <w:rFonts w:ascii="Arial" w:hAnsi="Arial" w:cs="Arial"/>
          <w:b/>
          <w:bCs/>
          <w:sz w:val="20"/>
          <w:szCs w:val="20"/>
        </w:rPr>
      </w:pPr>
      <w:r w:rsidRPr="003D05CF">
        <w:rPr>
          <w:rFonts w:ascii="Arial" w:hAnsi="Arial" w:cs="Arial"/>
          <w:b/>
          <w:bCs/>
          <w:sz w:val="20"/>
          <w:szCs w:val="20"/>
        </w:rPr>
        <w:t>Project manager</w:t>
      </w:r>
      <w:r>
        <w:rPr>
          <w:rFonts w:ascii="Arial" w:hAnsi="Arial" w:cs="Arial"/>
          <w:b/>
          <w:bCs/>
          <w:sz w:val="20"/>
          <w:szCs w:val="20"/>
        </w:rPr>
        <w:t xml:space="preserve"> </w:t>
      </w:r>
      <w:r w:rsidRPr="003D05CF">
        <w:rPr>
          <w:rFonts w:ascii="Arial" w:hAnsi="Arial" w:cs="Arial"/>
          <w:b/>
          <w:bCs/>
          <w:sz w:val="20"/>
          <w:szCs w:val="20"/>
        </w:rPr>
        <w:t xml:space="preserve">- Bolivia </w:t>
      </w:r>
    </w:p>
    <w:p w:rsidR="006669B6" w:rsidRPr="003D05CF" w:rsidRDefault="006669B6" w:rsidP="006669B6">
      <w:pPr>
        <w:spacing w:after="0" w:line="276" w:lineRule="auto"/>
        <w:jc w:val="both"/>
        <w:rPr>
          <w:rFonts w:ascii="Arial" w:hAnsi="Arial" w:cs="Arial"/>
          <w:sz w:val="20"/>
          <w:szCs w:val="20"/>
        </w:rPr>
      </w:pPr>
      <w:r w:rsidRPr="003D05CF">
        <w:rPr>
          <w:rFonts w:ascii="Arial" w:hAnsi="Arial" w:cs="Arial"/>
          <w:sz w:val="20"/>
          <w:szCs w:val="20"/>
        </w:rPr>
        <w:t>Fondazione Don Carlo Gnocchi</w:t>
      </w:r>
    </w:p>
    <w:p w:rsidR="006669B6" w:rsidRPr="003D05CF" w:rsidRDefault="006669B6" w:rsidP="006669B6">
      <w:pPr>
        <w:spacing w:after="0" w:line="276" w:lineRule="auto"/>
        <w:jc w:val="both"/>
        <w:rPr>
          <w:rFonts w:ascii="Arial" w:hAnsi="Arial" w:cs="Arial"/>
          <w:sz w:val="20"/>
          <w:szCs w:val="20"/>
        </w:rPr>
      </w:pPr>
    </w:p>
    <w:p w:rsidR="006669B6" w:rsidRPr="003D05CF" w:rsidRDefault="006669B6" w:rsidP="006669B6">
      <w:pPr>
        <w:spacing w:after="0" w:line="276" w:lineRule="auto"/>
        <w:jc w:val="both"/>
        <w:rPr>
          <w:rFonts w:ascii="Arial" w:hAnsi="Arial" w:cs="Arial"/>
          <w:sz w:val="20"/>
          <w:szCs w:val="20"/>
        </w:rPr>
      </w:pPr>
      <w:r w:rsidRPr="003D05CF">
        <w:rPr>
          <w:rFonts w:ascii="Arial" w:hAnsi="Arial" w:cs="Arial"/>
          <w:sz w:val="20"/>
          <w:szCs w:val="20"/>
        </w:rPr>
        <w:t>Fondazione Don Carlo Gnocchi Onlus (</w:t>
      </w:r>
      <w:hyperlink r:id="rId7" w:history="1">
        <w:r w:rsidRPr="003D05CF">
          <w:rPr>
            <w:rStyle w:val="Collegamentoipertestuale"/>
            <w:rFonts w:ascii="Arial" w:hAnsi="Arial" w:cs="Arial"/>
            <w:sz w:val="20"/>
            <w:szCs w:val="20"/>
          </w:rPr>
          <w:t>www.dongnocchi.it</w:t>
        </w:r>
      </w:hyperlink>
      <w:r w:rsidRPr="003D05CF">
        <w:rPr>
          <w:rFonts w:ascii="Arial" w:hAnsi="Arial" w:cs="Arial"/>
          <w:sz w:val="20"/>
          <w:szCs w:val="20"/>
        </w:rPr>
        <w:t xml:space="preserve"> ), realtà sanitaria e sociosanitaria con 3.700 posti letto, svolge attività di cura, riabilitazione, assistenza e integrazione sociale, in regime di accreditamento con il Servizio Sanitario Nazionale in </w:t>
      </w:r>
      <w:r>
        <w:rPr>
          <w:rFonts w:ascii="Arial" w:hAnsi="Arial" w:cs="Arial"/>
          <w:sz w:val="20"/>
          <w:szCs w:val="20"/>
        </w:rPr>
        <w:t>25</w:t>
      </w:r>
      <w:r w:rsidRPr="003D05CF">
        <w:rPr>
          <w:rFonts w:ascii="Arial" w:hAnsi="Arial" w:cs="Arial"/>
          <w:sz w:val="20"/>
          <w:szCs w:val="20"/>
        </w:rPr>
        <w:t xml:space="preserve"> </w:t>
      </w:r>
      <w:r>
        <w:rPr>
          <w:rFonts w:ascii="Arial" w:hAnsi="Arial" w:cs="Arial"/>
          <w:sz w:val="20"/>
          <w:szCs w:val="20"/>
        </w:rPr>
        <w:t xml:space="preserve">Strutture </w:t>
      </w:r>
      <w:r w:rsidRPr="003D05CF">
        <w:rPr>
          <w:rFonts w:ascii="Arial" w:hAnsi="Arial" w:cs="Arial"/>
          <w:sz w:val="20"/>
          <w:szCs w:val="20"/>
        </w:rPr>
        <w:t>distribuit</w:t>
      </w:r>
      <w:r>
        <w:rPr>
          <w:rFonts w:ascii="Arial" w:hAnsi="Arial" w:cs="Arial"/>
          <w:sz w:val="20"/>
          <w:szCs w:val="20"/>
        </w:rPr>
        <w:t>e</w:t>
      </w:r>
      <w:r w:rsidRPr="003D05CF">
        <w:rPr>
          <w:rFonts w:ascii="Arial" w:hAnsi="Arial" w:cs="Arial"/>
          <w:sz w:val="20"/>
          <w:szCs w:val="20"/>
        </w:rPr>
        <w:t xml:space="preserve"> in 9 regioni, rispondendo anche con soluzioni innovative e sperimentali ai bisogni emergenti delle persone più fragili. Riconosciuta Istituto di Ricovero e Cura a Carattere Scientifico (IRCCS), conta circa 6.000 operatori tra personale dipendente e collaboratori professionali. </w:t>
      </w:r>
    </w:p>
    <w:p w:rsidR="006669B6" w:rsidRDefault="006669B6" w:rsidP="006669B6">
      <w:pPr>
        <w:spacing w:before="120" w:after="0" w:line="276" w:lineRule="auto"/>
        <w:jc w:val="both"/>
        <w:rPr>
          <w:rFonts w:ascii="Arial" w:hAnsi="Arial" w:cs="Arial"/>
          <w:sz w:val="20"/>
          <w:szCs w:val="20"/>
        </w:rPr>
      </w:pPr>
      <w:r w:rsidRPr="003D05CF">
        <w:rPr>
          <w:rFonts w:ascii="Arial" w:hAnsi="Arial" w:cs="Arial"/>
          <w:sz w:val="20"/>
          <w:szCs w:val="20"/>
        </w:rPr>
        <w:t xml:space="preserve">Fondazione Don Gnocchi Onlus ha ottenuto nel 2001 dalla Direzione Generale per la Cooperazione allo Sviluppo del Ministero degli Affari Esteri il riconoscimento quale Organizzazione Non Governativa (ONG), acquisendo l'idoneità per realizzare programmi a breve e medio periodo in paesi terzi. </w:t>
      </w:r>
    </w:p>
    <w:p w:rsidR="006669B6" w:rsidRPr="003D05CF" w:rsidRDefault="006669B6" w:rsidP="006669B6">
      <w:pPr>
        <w:spacing w:before="120" w:after="0" w:line="276" w:lineRule="auto"/>
        <w:jc w:val="both"/>
        <w:rPr>
          <w:rFonts w:ascii="Arial" w:hAnsi="Arial" w:cs="Arial"/>
          <w:sz w:val="20"/>
          <w:szCs w:val="20"/>
        </w:rPr>
      </w:pPr>
      <w:r w:rsidRPr="003D05CF">
        <w:rPr>
          <w:rFonts w:ascii="Arial" w:hAnsi="Arial" w:cs="Arial"/>
          <w:sz w:val="20"/>
          <w:szCs w:val="20"/>
        </w:rPr>
        <w:t xml:space="preserve">Nell’ambito dei programmi di cooperazione internazionale, Fondazione Don Carlo Gnocchi Onlus sta ricercando una/un </w:t>
      </w:r>
      <w:r w:rsidRPr="003D05CF">
        <w:rPr>
          <w:rFonts w:ascii="Arial" w:hAnsi="Arial" w:cs="Arial"/>
          <w:b/>
          <w:bCs/>
          <w:sz w:val="20"/>
          <w:szCs w:val="20"/>
        </w:rPr>
        <w:t>Project manager</w:t>
      </w:r>
      <w:r w:rsidRPr="003D05CF">
        <w:rPr>
          <w:rFonts w:ascii="Arial" w:hAnsi="Arial" w:cs="Arial"/>
          <w:sz w:val="20"/>
          <w:szCs w:val="20"/>
        </w:rPr>
        <w:t xml:space="preserve"> per le sue attività in Bolivia</w:t>
      </w:r>
      <w:r>
        <w:rPr>
          <w:rFonts w:ascii="Arial" w:hAnsi="Arial" w:cs="Arial"/>
          <w:sz w:val="20"/>
          <w:szCs w:val="20"/>
        </w:rPr>
        <w:t xml:space="preserve"> (</w:t>
      </w:r>
      <w:r w:rsidRPr="003D05CF">
        <w:rPr>
          <w:rFonts w:ascii="Arial" w:hAnsi="Arial" w:cs="Arial"/>
          <w:sz w:val="20"/>
          <w:szCs w:val="20"/>
        </w:rPr>
        <w:t>sede di lavoro a Cochabamba</w:t>
      </w:r>
      <w:r>
        <w:rPr>
          <w:rFonts w:ascii="Arial" w:hAnsi="Arial" w:cs="Arial"/>
          <w:sz w:val="20"/>
          <w:szCs w:val="20"/>
        </w:rPr>
        <w:t>)</w:t>
      </w:r>
      <w:r w:rsidRPr="003D05CF">
        <w:rPr>
          <w:rFonts w:ascii="Arial" w:hAnsi="Arial" w:cs="Arial"/>
          <w:sz w:val="20"/>
          <w:szCs w:val="20"/>
        </w:rPr>
        <w:t xml:space="preserve">:  </w:t>
      </w:r>
    </w:p>
    <w:p w:rsidR="006669B6" w:rsidRDefault="006669B6" w:rsidP="006669B6">
      <w:pPr>
        <w:spacing w:before="120" w:after="0" w:line="276" w:lineRule="auto"/>
        <w:jc w:val="both"/>
        <w:rPr>
          <w:rFonts w:ascii="Arial" w:hAnsi="Arial" w:cs="Arial"/>
          <w:b/>
          <w:bCs/>
          <w:sz w:val="20"/>
          <w:szCs w:val="20"/>
        </w:rPr>
      </w:pPr>
    </w:p>
    <w:p w:rsidR="006669B6" w:rsidRPr="003D05CF" w:rsidRDefault="006669B6" w:rsidP="006669B6">
      <w:pPr>
        <w:spacing w:before="120" w:after="0" w:line="276" w:lineRule="auto"/>
        <w:jc w:val="both"/>
        <w:rPr>
          <w:rFonts w:ascii="Arial" w:hAnsi="Arial" w:cs="Arial"/>
          <w:b/>
          <w:bCs/>
          <w:sz w:val="20"/>
          <w:szCs w:val="20"/>
        </w:rPr>
      </w:pPr>
      <w:r w:rsidRPr="003D05CF">
        <w:rPr>
          <w:rFonts w:ascii="Arial" w:hAnsi="Arial" w:cs="Arial"/>
          <w:b/>
          <w:bCs/>
          <w:sz w:val="20"/>
          <w:szCs w:val="20"/>
        </w:rPr>
        <w:t>Responsabilità</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Facilitare l’organizzazione delle</w:t>
      </w:r>
      <w:r w:rsidRPr="003D05CF">
        <w:rPr>
          <w:rFonts w:ascii="Arial" w:hAnsi="Arial" w:cs="Arial"/>
          <w:b/>
          <w:bCs/>
          <w:sz w:val="20"/>
          <w:szCs w:val="20"/>
        </w:rPr>
        <w:t xml:space="preserve"> </w:t>
      </w:r>
      <w:r w:rsidRPr="003D05CF">
        <w:rPr>
          <w:rFonts w:ascii="Arial" w:hAnsi="Arial" w:cs="Arial"/>
          <w:sz w:val="20"/>
          <w:szCs w:val="20"/>
        </w:rPr>
        <w:t>attività progettuali in Bolivia ed Ecuador, con sede di lavoro a Cochabamba (Bolivia)</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Garantire il coordinamento, l’attuazione, la gestione e la supervisione delle attività previste nei tempi, metodi e budget dei progetti</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 xml:space="preserve">Gestire le attività di esperti/e </w:t>
      </w:r>
      <w:r>
        <w:rPr>
          <w:rFonts w:ascii="Arial" w:hAnsi="Arial" w:cs="Arial"/>
          <w:sz w:val="20"/>
          <w:szCs w:val="20"/>
        </w:rPr>
        <w:t xml:space="preserve">della Fondazione </w:t>
      </w:r>
      <w:r w:rsidRPr="003D05CF">
        <w:rPr>
          <w:rFonts w:ascii="Arial" w:hAnsi="Arial" w:cs="Arial"/>
          <w:sz w:val="20"/>
          <w:szCs w:val="20"/>
        </w:rPr>
        <w:t>e altre risorse in missioni di breve/medio periodo</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 xml:space="preserve">Contribuire alla preparazione, pianificazione e realizzazione di progetti formativi organizzati con docenti in arrivo dalla sede italiana </w:t>
      </w:r>
      <w:r>
        <w:rPr>
          <w:rFonts w:ascii="Arial" w:hAnsi="Arial" w:cs="Arial"/>
          <w:sz w:val="20"/>
          <w:szCs w:val="20"/>
        </w:rPr>
        <w:t xml:space="preserve">della </w:t>
      </w:r>
      <w:r w:rsidRPr="003D05CF">
        <w:rPr>
          <w:rFonts w:ascii="Arial" w:hAnsi="Arial" w:cs="Arial"/>
          <w:sz w:val="20"/>
          <w:szCs w:val="20"/>
        </w:rPr>
        <w:t>Fondazione</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Assicurare la gestione tecnica, amministrativa e finanziaria dei progetti in linea con le procedure stabilite</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 xml:space="preserve">Redigere la documentazione relativa ai progetti come richiesto dall’ente finanziatore (ad esempio piani operativi periodici, rapporti intermedi e finali, richieste di variazione, materiali informativi) nonché i rapporti periodici alla sede </w:t>
      </w:r>
      <w:r>
        <w:rPr>
          <w:rFonts w:ascii="Arial" w:hAnsi="Arial" w:cs="Arial"/>
          <w:sz w:val="20"/>
          <w:szCs w:val="20"/>
        </w:rPr>
        <w:t>italiana della Fondazione;</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Definire e monitorare gli indicatori dei progetti, garantendo una raccolta e analisi dei dati efficiente</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Realizzare incontri periodici con i soggetti coinvolti nelle iniziative</w:t>
      </w:r>
      <w:r>
        <w:rPr>
          <w:rFonts w:ascii="Arial" w:hAnsi="Arial" w:cs="Arial"/>
          <w:sz w:val="20"/>
          <w:szCs w:val="20"/>
        </w:rPr>
        <w:t>;</w:t>
      </w:r>
    </w:p>
    <w:p w:rsidR="006669B6" w:rsidRPr="003D05CF" w:rsidRDefault="006669B6" w:rsidP="006669B6">
      <w:pPr>
        <w:pStyle w:val="Paragrafoelenco"/>
        <w:numPr>
          <w:ilvl w:val="0"/>
          <w:numId w:val="1"/>
        </w:numPr>
        <w:spacing w:after="0" w:line="276" w:lineRule="auto"/>
        <w:ind w:left="567"/>
        <w:jc w:val="both"/>
        <w:rPr>
          <w:rFonts w:ascii="Arial" w:hAnsi="Arial" w:cs="Arial"/>
          <w:sz w:val="20"/>
          <w:szCs w:val="20"/>
        </w:rPr>
      </w:pPr>
      <w:r w:rsidRPr="003D05CF">
        <w:rPr>
          <w:rFonts w:ascii="Arial" w:hAnsi="Arial" w:cs="Arial"/>
          <w:sz w:val="20"/>
          <w:szCs w:val="20"/>
        </w:rPr>
        <w:t>Organizzare visite sul campo legate alle attività organizzate da altri partner dei progetti.</w:t>
      </w:r>
    </w:p>
    <w:p w:rsidR="006669B6" w:rsidRDefault="006669B6" w:rsidP="006669B6">
      <w:pPr>
        <w:spacing w:before="120" w:after="0" w:line="276" w:lineRule="auto"/>
        <w:jc w:val="both"/>
        <w:rPr>
          <w:rFonts w:ascii="Arial" w:hAnsi="Arial" w:cs="Arial"/>
          <w:b/>
          <w:bCs/>
          <w:sz w:val="20"/>
          <w:szCs w:val="20"/>
        </w:rPr>
      </w:pPr>
    </w:p>
    <w:p w:rsidR="006669B6" w:rsidRPr="003D05CF" w:rsidRDefault="006669B6" w:rsidP="006669B6">
      <w:pPr>
        <w:spacing w:before="120" w:after="0" w:line="276" w:lineRule="auto"/>
        <w:jc w:val="both"/>
        <w:rPr>
          <w:rFonts w:ascii="Arial" w:hAnsi="Arial" w:cs="Arial"/>
          <w:b/>
          <w:bCs/>
          <w:sz w:val="20"/>
          <w:szCs w:val="20"/>
        </w:rPr>
      </w:pPr>
      <w:r w:rsidRPr="003D05CF">
        <w:rPr>
          <w:rFonts w:ascii="Arial" w:hAnsi="Arial" w:cs="Arial"/>
          <w:b/>
          <w:bCs/>
          <w:sz w:val="20"/>
          <w:szCs w:val="20"/>
        </w:rPr>
        <w:t>Requisiti</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Esperienza almeno triennale nell’implementazione di progetti di cooperazione internazionale</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Conoscenza approfondita del contesto dell’area geografica in cui si svolge il progetto</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Solide competenze gestionali e organizzative</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Buone competenze per la gestione di rendicontazioni in loco e gestione amministrativa di base</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Solide competenze redazionali e chiarezza comunicativa nella scrittura di report tecnici</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Capacità di lavorare in team</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Disponibilità a spostamenti</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Ottima conoscenza del pacchetto Office (in particolare conoscenza avanza di Excel) e degli strumenti di navigazione Internet</w:t>
      </w:r>
      <w:r>
        <w:rPr>
          <w:rFonts w:ascii="Arial" w:hAnsi="Arial" w:cs="Arial"/>
          <w:sz w:val="20"/>
          <w:szCs w:val="20"/>
        </w:rPr>
        <w:t>;</w:t>
      </w:r>
    </w:p>
    <w:p w:rsidR="006669B6" w:rsidRPr="003D05CF" w:rsidRDefault="006669B6" w:rsidP="006669B6">
      <w:pPr>
        <w:pStyle w:val="Paragrafoelenco"/>
        <w:numPr>
          <w:ilvl w:val="0"/>
          <w:numId w:val="2"/>
        </w:numPr>
        <w:spacing w:after="0" w:line="276" w:lineRule="auto"/>
        <w:ind w:left="567"/>
        <w:jc w:val="both"/>
        <w:rPr>
          <w:rFonts w:ascii="Arial" w:hAnsi="Arial" w:cs="Arial"/>
          <w:sz w:val="20"/>
          <w:szCs w:val="20"/>
        </w:rPr>
      </w:pPr>
      <w:r w:rsidRPr="003D05CF">
        <w:rPr>
          <w:rFonts w:ascii="Arial" w:hAnsi="Arial" w:cs="Arial"/>
          <w:sz w:val="20"/>
          <w:szCs w:val="20"/>
        </w:rPr>
        <w:t xml:space="preserve">Conoscenza della lingua spagnola. </w:t>
      </w:r>
    </w:p>
    <w:p w:rsidR="006669B6" w:rsidRPr="006669B6" w:rsidRDefault="006669B6" w:rsidP="006669B6">
      <w:pPr>
        <w:spacing w:after="0" w:line="276" w:lineRule="auto"/>
        <w:ind w:left="360"/>
        <w:jc w:val="both"/>
        <w:rPr>
          <w:rFonts w:ascii="Arial" w:hAnsi="Arial" w:cs="Arial"/>
          <w:sz w:val="20"/>
          <w:szCs w:val="20"/>
        </w:rPr>
      </w:pPr>
      <w:bookmarkStart w:id="0" w:name="_GoBack"/>
      <w:bookmarkEnd w:id="0"/>
    </w:p>
    <w:p w:rsidR="006669B6" w:rsidRDefault="006669B6" w:rsidP="006669B6">
      <w:pPr>
        <w:pStyle w:val="Paragrafoelenco"/>
        <w:numPr>
          <w:ilvl w:val="0"/>
          <w:numId w:val="2"/>
        </w:numPr>
        <w:sectPr w:rsidR="006669B6" w:rsidSect="00657BAF">
          <w:headerReference w:type="default" r:id="rId8"/>
          <w:footerReference w:type="default" r:id="rId9"/>
          <w:headerReference w:type="first" r:id="rId10"/>
          <w:footerReference w:type="first" r:id="rId11"/>
          <w:pgSz w:w="11906" w:h="16838"/>
          <w:pgMar w:top="1418" w:right="1134" w:bottom="1134" w:left="1134" w:header="709" w:footer="709" w:gutter="0"/>
          <w:cols w:space="708"/>
          <w:docGrid w:linePitch="360"/>
        </w:sectPr>
      </w:pPr>
    </w:p>
    <w:p w:rsidR="006669B6" w:rsidRDefault="006669B6" w:rsidP="006669B6">
      <w:pPr>
        <w:spacing w:before="120" w:after="0" w:line="276" w:lineRule="auto"/>
        <w:jc w:val="both"/>
        <w:rPr>
          <w:rFonts w:ascii="Arial" w:hAnsi="Arial" w:cs="Arial"/>
          <w:b/>
          <w:bCs/>
          <w:sz w:val="20"/>
          <w:szCs w:val="20"/>
        </w:rPr>
      </w:pPr>
    </w:p>
    <w:p w:rsidR="006669B6" w:rsidRPr="003D05CF" w:rsidRDefault="006669B6" w:rsidP="006669B6">
      <w:pPr>
        <w:spacing w:before="120" w:after="0" w:line="276" w:lineRule="auto"/>
        <w:jc w:val="both"/>
        <w:rPr>
          <w:rFonts w:ascii="Arial" w:hAnsi="Arial" w:cs="Arial"/>
          <w:b/>
          <w:bCs/>
          <w:sz w:val="20"/>
          <w:szCs w:val="20"/>
        </w:rPr>
      </w:pPr>
      <w:r>
        <w:rPr>
          <w:rFonts w:ascii="Arial" w:hAnsi="Arial" w:cs="Arial"/>
          <w:b/>
          <w:bCs/>
          <w:sz w:val="20"/>
          <w:szCs w:val="20"/>
        </w:rPr>
        <w:t>Ulteriori r</w:t>
      </w:r>
      <w:r w:rsidRPr="003D05CF">
        <w:rPr>
          <w:rFonts w:ascii="Arial" w:hAnsi="Arial" w:cs="Arial"/>
          <w:b/>
          <w:bCs/>
          <w:sz w:val="20"/>
          <w:szCs w:val="20"/>
        </w:rPr>
        <w:t>equisiti preferenziali</w:t>
      </w:r>
    </w:p>
    <w:p w:rsidR="006669B6" w:rsidRPr="003D05CF" w:rsidRDefault="006669B6" w:rsidP="006669B6">
      <w:pPr>
        <w:pStyle w:val="Paragrafoelenco"/>
        <w:numPr>
          <w:ilvl w:val="0"/>
          <w:numId w:val="3"/>
        </w:numPr>
        <w:spacing w:after="0" w:line="276" w:lineRule="auto"/>
        <w:jc w:val="both"/>
        <w:rPr>
          <w:rFonts w:ascii="Arial" w:hAnsi="Arial" w:cs="Arial"/>
          <w:sz w:val="20"/>
          <w:szCs w:val="20"/>
        </w:rPr>
      </w:pPr>
      <w:r w:rsidRPr="003D05CF">
        <w:rPr>
          <w:rFonts w:ascii="Arial" w:hAnsi="Arial" w:cs="Arial"/>
          <w:sz w:val="20"/>
          <w:szCs w:val="20"/>
        </w:rPr>
        <w:t>Conoscenze e/o esperienze pregresse in ambito di educazione inclusiva</w:t>
      </w:r>
      <w:r>
        <w:rPr>
          <w:rFonts w:ascii="Arial" w:hAnsi="Arial" w:cs="Arial"/>
          <w:sz w:val="20"/>
          <w:szCs w:val="20"/>
        </w:rPr>
        <w:t>;</w:t>
      </w:r>
    </w:p>
    <w:p w:rsidR="006669B6" w:rsidRPr="003D05CF" w:rsidRDefault="006669B6" w:rsidP="006669B6">
      <w:pPr>
        <w:pStyle w:val="Paragrafoelenco"/>
        <w:numPr>
          <w:ilvl w:val="0"/>
          <w:numId w:val="3"/>
        </w:numPr>
        <w:spacing w:after="0" w:line="276" w:lineRule="auto"/>
        <w:jc w:val="both"/>
        <w:rPr>
          <w:rFonts w:ascii="Arial" w:hAnsi="Arial" w:cs="Arial"/>
          <w:sz w:val="20"/>
          <w:szCs w:val="20"/>
        </w:rPr>
      </w:pPr>
      <w:r w:rsidRPr="003D05CF">
        <w:rPr>
          <w:rFonts w:ascii="Arial" w:hAnsi="Arial" w:cs="Arial"/>
          <w:sz w:val="20"/>
          <w:szCs w:val="20"/>
        </w:rPr>
        <w:t>Conoscenza delle tematiche legate alla disabilità e in particolare della metodologia dello sviluppo inclusivo su base comunitaria (SIBC)</w:t>
      </w:r>
      <w:r>
        <w:rPr>
          <w:rFonts w:ascii="Arial" w:hAnsi="Arial" w:cs="Arial"/>
          <w:sz w:val="20"/>
          <w:szCs w:val="20"/>
        </w:rPr>
        <w:t>.</w:t>
      </w:r>
    </w:p>
    <w:p w:rsidR="006669B6" w:rsidRPr="003D05CF" w:rsidRDefault="006669B6" w:rsidP="006669B6">
      <w:pPr>
        <w:spacing w:after="0" w:line="276" w:lineRule="auto"/>
        <w:jc w:val="both"/>
        <w:rPr>
          <w:rFonts w:ascii="Arial" w:hAnsi="Arial" w:cs="Arial"/>
          <w:sz w:val="20"/>
          <w:szCs w:val="20"/>
        </w:rPr>
      </w:pPr>
    </w:p>
    <w:p w:rsidR="006669B6" w:rsidRPr="003D05CF" w:rsidRDefault="006669B6" w:rsidP="006669B6">
      <w:pPr>
        <w:spacing w:before="120" w:after="0" w:line="276" w:lineRule="auto"/>
        <w:jc w:val="both"/>
        <w:rPr>
          <w:rFonts w:ascii="Arial" w:hAnsi="Arial" w:cs="Arial"/>
          <w:sz w:val="20"/>
          <w:szCs w:val="20"/>
        </w:rPr>
      </w:pPr>
      <w:r w:rsidRPr="003D05CF">
        <w:rPr>
          <w:rFonts w:ascii="Arial" w:hAnsi="Arial" w:cs="Arial"/>
          <w:sz w:val="20"/>
          <w:szCs w:val="20"/>
        </w:rPr>
        <w:t>Contratto di lavoro: Co.co.co della durata di 12 mesi</w:t>
      </w:r>
      <w:r>
        <w:rPr>
          <w:rFonts w:ascii="Arial" w:hAnsi="Arial" w:cs="Arial"/>
          <w:sz w:val="20"/>
          <w:szCs w:val="20"/>
        </w:rPr>
        <w:t xml:space="preserve"> (</w:t>
      </w:r>
      <w:r w:rsidRPr="003D05CF">
        <w:rPr>
          <w:rFonts w:ascii="Arial" w:hAnsi="Arial" w:cs="Arial"/>
          <w:sz w:val="20"/>
          <w:szCs w:val="20"/>
        </w:rPr>
        <w:t>inserimento ad agosto 2025</w:t>
      </w:r>
      <w:r>
        <w:rPr>
          <w:rFonts w:ascii="Arial" w:hAnsi="Arial" w:cs="Arial"/>
          <w:sz w:val="20"/>
          <w:szCs w:val="20"/>
        </w:rPr>
        <w:t>)</w:t>
      </w:r>
    </w:p>
    <w:p w:rsidR="006669B6" w:rsidRPr="003D05CF" w:rsidRDefault="006669B6" w:rsidP="006669B6">
      <w:pPr>
        <w:spacing w:after="0" w:line="276" w:lineRule="auto"/>
        <w:jc w:val="both"/>
        <w:rPr>
          <w:rFonts w:ascii="Arial" w:hAnsi="Arial" w:cs="Arial"/>
          <w:b/>
          <w:bCs/>
          <w:sz w:val="20"/>
          <w:szCs w:val="20"/>
        </w:rPr>
      </w:pPr>
    </w:p>
    <w:p w:rsidR="006669B6" w:rsidRDefault="006669B6" w:rsidP="006669B6">
      <w:pPr>
        <w:spacing w:before="120" w:after="0" w:line="276" w:lineRule="auto"/>
        <w:jc w:val="both"/>
        <w:rPr>
          <w:rFonts w:ascii="Arial" w:hAnsi="Arial" w:cs="Arial"/>
          <w:sz w:val="20"/>
          <w:szCs w:val="20"/>
        </w:rPr>
      </w:pPr>
      <w:r w:rsidRPr="003D05CF">
        <w:rPr>
          <w:rFonts w:ascii="Arial" w:hAnsi="Arial" w:cs="Arial"/>
          <w:sz w:val="20"/>
          <w:szCs w:val="20"/>
        </w:rPr>
        <w:t>Il presente annuncio è rivolto ad entrambi i sessi (L.903/77) e a soggetti di tutte le età e nazionalità purché abbiano una buona conoscenza della lingua italiana.</w:t>
      </w:r>
    </w:p>
    <w:p w:rsidR="006669B6" w:rsidRPr="003D05CF" w:rsidRDefault="006669B6" w:rsidP="006669B6">
      <w:pPr>
        <w:spacing w:after="0" w:line="276" w:lineRule="auto"/>
        <w:jc w:val="both"/>
        <w:rPr>
          <w:rFonts w:ascii="Arial" w:hAnsi="Arial" w:cs="Arial"/>
          <w:sz w:val="20"/>
          <w:szCs w:val="20"/>
        </w:rPr>
      </w:pPr>
    </w:p>
    <w:p w:rsidR="006669B6" w:rsidRPr="003D05CF" w:rsidRDefault="006669B6" w:rsidP="006669B6">
      <w:pPr>
        <w:spacing w:before="120" w:after="0" w:line="276" w:lineRule="auto"/>
        <w:jc w:val="both"/>
        <w:rPr>
          <w:rFonts w:ascii="Arial" w:hAnsi="Arial" w:cs="Arial"/>
          <w:sz w:val="20"/>
          <w:szCs w:val="20"/>
        </w:rPr>
      </w:pPr>
      <w:r w:rsidRPr="003D05CF">
        <w:rPr>
          <w:rFonts w:ascii="Arial" w:hAnsi="Arial" w:cs="Arial"/>
          <w:sz w:val="20"/>
          <w:szCs w:val="20"/>
        </w:rPr>
        <w:t xml:space="preserve">Le risorse interessate ad approfondire le opportunità di impiego possono indirizzare il </w:t>
      </w:r>
      <w:r w:rsidRPr="003D05CF">
        <w:rPr>
          <w:rFonts w:ascii="Arial" w:hAnsi="Arial" w:cs="Arial"/>
          <w:b/>
          <w:bCs/>
          <w:sz w:val="20"/>
          <w:szCs w:val="20"/>
        </w:rPr>
        <w:t>proprio CV, unitamente a due referenze</w:t>
      </w:r>
      <w:r w:rsidRPr="003D05CF">
        <w:rPr>
          <w:rFonts w:ascii="Arial" w:hAnsi="Arial" w:cs="Arial"/>
          <w:sz w:val="20"/>
          <w:szCs w:val="20"/>
        </w:rPr>
        <w:t xml:space="preserve">, esclusivamente in via telematica </w:t>
      </w:r>
      <w:r>
        <w:rPr>
          <w:rFonts w:ascii="Arial" w:hAnsi="Arial" w:cs="Arial"/>
          <w:sz w:val="20"/>
          <w:szCs w:val="20"/>
        </w:rPr>
        <w:t xml:space="preserve">a </w:t>
      </w:r>
      <w:hyperlink r:id="rId12" w:history="1">
        <w:r w:rsidRPr="00B66DF7">
          <w:rPr>
            <w:rStyle w:val="Collegamentoipertestuale"/>
            <w:rFonts w:ascii="Arial" w:hAnsi="Arial" w:cs="Arial"/>
            <w:sz w:val="20"/>
            <w:szCs w:val="20"/>
          </w:rPr>
          <w:t>area.int@dongnocchi.it</w:t>
        </w:r>
      </w:hyperlink>
      <w:r>
        <w:rPr>
          <w:rFonts w:ascii="Arial" w:hAnsi="Arial" w:cs="Arial"/>
          <w:sz w:val="20"/>
          <w:szCs w:val="20"/>
        </w:rPr>
        <w:t xml:space="preserve"> </w:t>
      </w:r>
      <w:r w:rsidRPr="003D05CF">
        <w:rPr>
          <w:rFonts w:ascii="Arial" w:hAnsi="Arial" w:cs="Arial"/>
          <w:sz w:val="20"/>
          <w:szCs w:val="20"/>
        </w:rPr>
        <w:t xml:space="preserve">autorizzando esplicitamente la Fondazione al trattamento dei dati personali (D. </w:t>
      </w:r>
      <w:proofErr w:type="spellStart"/>
      <w:r w:rsidRPr="003D05CF">
        <w:rPr>
          <w:rFonts w:ascii="Arial" w:hAnsi="Arial" w:cs="Arial"/>
          <w:sz w:val="20"/>
          <w:szCs w:val="20"/>
        </w:rPr>
        <w:t>Lgs</w:t>
      </w:r>
      <w:proofErr w:type="spellEnd"/>
      <w:r w:rsidRPr="003D05CF">
        <w:rPr>
          <w:rFonts w:ascii="Arial" w:hAnsi="Arial" w:cs="Arial"/>
          <w:sz w:val="20"/>
          <w:szCs w:val="20"/>
        </w:rPr>
        <w:t>. 196/2003 e GDPR 679/16).</w:t>
      </w:r>
    </w:p>
    <w:p w:rsidR="008029D4" w:rsidRDefault="008029D4" w:rsidP="006669B6"/>
    <w:sectPr w:rsidR="008029D4" w:rsidSect="00F1564E">
      <w:headerReference w:type="default" r:id="rId13"/>
      <w:footerReference w:type="default" r:id="rId14"/>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07" w:rsidRDefault="00C25507" w:rsidP="00D658E3">
      <w:pPr>
        <w:spacing w:after="0" w:line="240" w:lineRule="auto"/>
      </w:pPr>
      <w:r>
        <w:separator/>
      </w:r>
    </w:p>
  </w:endnote>
  <w:endnote w:type="continuationSeparator" w:id="0">
    <w:p w:rsidR="00C25507" w:rsidRDefault="00C25507" w:rsidP="00D6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B6" w:rsidRDefault="006669B6">
    <w:pPr>
      <w:pStyle w:val="Pidipagina"/>
    </w:pPr>
    <w:r>
      <w:rPr>
        <w:noProof/>
        <w:lang w:eastAsia="it-IT"/>
      </w:rPr>
      <w:drawing>
        <wp:inline distT="0" distB="0" distL="0" distR="0" wp14:anchorId="5BA22B59" wp14:editId="7765CDAB">
          <wp:extent cx="6120130" cy="93853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rta intestata Istituzionale A2.jpg"/>
                  <pic:cNvPicPr/>
                </pic:nvPicPr>
                <pic:blipFill>
                  <a:blip r:embed="rId1">
                    <a:extLst>
                      <a:ext uri="{28A0092B-C50C-407E-A947-70E740481C1C}">
                        <a14:useLocalDpi xmlns:a14="http://schemas.microsoft.com/office/drawing/2010/main" val="0"/>
                      </a:ext>
                    </a:extLst>
                  </a:blip>
                  <a:stretch>
                    <a:fillRect/>
                  </a:stretch>
                </pic:blipFill>
                <pic:spPr>
                  <a:xfrm>
                    <a:off x="0" y="0"/>
                    <a:ext cx="6120130" cy="9385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B6" w:rsidRDefault="006669B6">
    <w:pPr>
      <w:pStyle w:val="Pidipagina"/>
    </w:pPr>
    <w:r>
      <w:rPr>
        <w:noProof/>
        <w:lang w:eastAsia="it-IT"/>
      </w:rPr>
      <w:drawing>
        <wp:inline distT="0" distB="0" distL="0" distR="0" wp14:anchorId="44582325" wp14:editId="04492606">
          <wp:extent cx="6120130" cy="30988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rta intestata Istituzionale B2.jpg"/>
                  <pic:cNvPicPr/>
                </pic:nvPicPr>
                <pic:blipFill>
                  <a:blip r:embed="rId1">
                    <a:extLst>
                      <a:ext uri="{28A0092B-C50C-407E-A947-70E740481C1C}">
                        <a14:useLocalDpi xmlns:a14="http://schemas.microsoft.com/office/drawing/2010/main" val="0"/>
                      </a:ext>
                    </a:extLst>
                  </a:blip>
                  <a:stretch>
                    <a:fillRect/>
                  </a:stretch>
                </pic:blipFill>
                <pic:spPr>
                  <a:xfrm>
                    <a:off x="0" y="0"/>
                    <a:ext cx="6120130" cy="3098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4E" w:rsidRDefault="00F1564E">
    <w:pPr>
      <w:pStyle w:val="Pidipagina"/>
    </w:pPr>
    <w:r>
      <w:rPr>
        <w:noProof/>
        <w:lang w:eastAsia="it-IT"/>
      </w:rPr>
      <w:drawing>
        <wp:inline distT="0" distB="0" distL="0" distR="0">
          <wp:extent cx="6120130" cy="30988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ta intestata Istituzionale B2.jpg"/>
                  <pic:cNvPicPr/>
                </pic:nvPicPr>
                <pic:blipFill>
                  <a:blip r:embed="rId1">
                    <a:extLst>
                      <a:ext uri="{28A0092B-C50C-407E-A947-70E740481C1C}">
                        <a14:useLocalDpi xmlns:a14="http://schemas.microsoft.com/office/drawing/2010/main" val="0"/>
                      </a:ext>
                    </a:extLst>
                  </a:blip>
                  <a:stretch>
                    <a:fillRect/>
                  </a:stretch>
                </pic:blipFill>
                <pic:spPr>
                  <a:xfrm>
                    <a:off x="0" y="0"/>
                    <a:ext cx="6120130" cy="309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07" w:rsidRDefault="00C25507" w:rsidP="00D658E3">
      <w:pPr>
        <w:spacing w:after="0" w:line="240" w:lineRule="auto"/>
      </w:pPr>
      <w:r>
        <w:separator/>
      </w:r>
    </w:p>
  </w:footnote>
  <w:footnote w:type="continuationSeparator" w:id="0">
    <w:p w:rsidR="00C25507" w:rsidRDefault="00C25507" w:rsidP="00D65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B6" w:rsidRDefault="006669B6">
    <w:pPr>
      <w:pStyle w:val="Intestazione"/>
    </w:pPr>
    <w:r>
      <w:rPr>
        <w:noProof/>
        <w:lang w:eastAsia="it-IT"/>
      </w:rPr>
      <w:drawing>
        <wp:inline distT="0" distB="0" distL="0" distR="0" wp14:anchorId="1F49F19F" wp14:editId="72C71CA0">
          <wp:extent cx="6120130" cy="7810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ta intestata Istituzionale A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81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B6" w:rsidRDefault="006669B6">
    <w:pPr>
      <w:pStyle w:val="Intestazione"/>
    </w:pPr>
    <w:r>
      <w:rPr>
        <w:noProof/>
        <w:lang w:eastAsia="it-IT"/>
      </w:rPr>
      <w:drawing>
        <wp:inline distT="0" distB="0" distL="0" distR="0" wp14:anchorId="17901F3F" wp14:editId="0F0B6CC3">
          <wp:extent cx="6120130" cy="850265"/>
          <wp:effectExtent l="0" t="0" r="0" b="698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rta intestata Istituzionale B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50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4E" w:rsidRDefault="00F1564E">
    <w:pPr>
      <w:pStyle w:val="Intestazione"/>
    </w:pPr>
    <w:r>
      <w:rPr>
        <w:noProof/>
        <w:lang w:eastAsia="it-IT"/>
      </w:rPr>
      <w:drawing>
        <wp:inline distT="0" distB="0" distL="0" distR="0">
          <wp:extent cx="6120130" cy="70866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ta intestata Istituzionale B1.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17C27"/>
    <w:multiLevelType w:val="hybridMultilevel"/>
    <w:tmpl w:val="953E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C752D8"/>
    <w:multiLevelType w:val="hybridMultilevel"/>
    <w:tmpl w:val="E06AF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377BE0"/>
    <w:multiLevelType w:val="hybridMultilevel"/>
    <w:tmpl w:val="2D94D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E3"/>
    <w:rsid w:val="0011223B"/>
    <w:rsid w:val="001D27C5"/>
    <w:rsid w:val="002D764A"/>
    <w:rsid w:val="002E3114"/>
    <w:rsid w:val="004E031D"/>
    <w:rsid w:val="00657BAF"/>
    <w:rsid w:val="006669B6"/>
    <w:rsid w:val="006B5AA8"/>
    <w:rsid w:val="006E50D7"/>
    <w:rsid w:val="0070664C"/>
    <w:rsid w:val="008029D4"/>
    <w:rsid w:val="008D5EC9"/>
    <w:rsid w:val="00992E8B"/>
    <w:rsid w:val="00C25507"/>
    <w:rsid w:val="00D658E3"/>
    <w:rsid w:val="00EF22C3"/>
    <w:rsid w:val="00F15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D0BB7"/>
  <w15:chartTrackingRefBased/>
  <w15:docId w15:val="{EFC92FBD-0DB3-429D-8795-BAD60A2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69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58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58E3"/>
  </w:style>
  <w:style w:type="paragraph" w:styleId="Pidipagina">
    <w:name w:val="footer"/>
    <w:basedOn w:val="Normale"/>
    <w:link w:val="PidipaginaCarattere"/>
    <w:uiPriority w:val="99"/>
    <w:unhideWhenUsed/>
    <w:rsid w:val="00D658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58E3"/>
  </w:style>
  <w:style w:type="paragraph" w:styleId="Testofumetto">
    <w:name w:val="Balloon Text"/>
    <w:basedOn w:val="Normale"/>
    <w:link w:val="TestofumettoCarattere"/>
    <w:uiPriority w:val="99"/>
    <w:semiHidden/>
    <w:unhideWhenUsed/>
    <w:rsid w:val="00D658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58E3"/>
    <w:rPr>
      <w:rFonts w:ascii="Segoe UI" w:hAnsi="Segoe UI" w:cs="Segoe UI"/>
      <w:sz w:val="18"/>
      <w:szCs w:val="18"/>
    </w:rPr>
  </w:style>
  <w:style w:type="character" w:styleId="Collegamentoipertestuale">
    <w:name w:val="Hyperlink"/>
    <w:basedOn w:val="Carpredefinitoparagrafo"/>
    <w:uiPriority w:val="99"/>
    <w:unhideWhenUsed/>
    <w:rsid w:val="006669B6"/>
    <w:rPr>
      <w:color w:val="0563C1" w:themeColor="hyperlink"/>
      <w:u w:val="single"/>
    </w:rPr>
  </w:style>
  <w:style w:type="paragraph" w:styleId="Paragrafoelenco">
    <w:name w:val="List Paragraph"/>
    <w:basedOn w:val="Normale"/>
    <w:uiPriority w:val="34"/>
    <w:qFormat/>
    <w:rsid w:val="0066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ongnocchi.it" TargetMode="External"/><Relationship Id="rId12" Type="http://schemas.openxmlformats.org/officeDocument/2006/relationships/hyperlink" Target="mailto:area.int@dongnocch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Gentili Ilaria</dc:creator>
  <cp:keywords/>
  <dc:description/>
  <cp:lastModifiedBy>Battiato Antonella</cp:lastModifiedBy>
  <cp:revision>2</cp:revision>
  <cp:lastPrinted>2022-10-13T08:30:00Z</cp:lastPrinted>
  <dcterms:created xsi:type="dcterms:W3CDTF">2025-02-26T14:29:00Z</dcterms:created>
  <dcterms:modified xsi:type="dcterms:W3CDTF">2025-02-26T14:29:00Z</dcterms:modified>
</cp:coreProperties>
</file>